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03:30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74" text:style-name="Internet_20_link" text:visited-style-name="Visited_20_Internet_20_Link">
              <text:span text:style-name="ListLabel_20_28">
                <text:span text:style-name="T8">1 Brf, Provincie Overijssel, Uw begroting 2019 en meerjarenraming 2020-2022, 20 maart 2018, zaaknr. 580280, 20180320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74"/>
        Brf, Provincie Overijssel, Uw begroting 2019 en meerjarenraming 2020-2022, 20 maart 2018, zaaknr. 580280, 20180320
        <text:bookmark-end text:name="416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03-05-2018 15:44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Provincie Overijssel, Uw begroting 2019 en meerjarenraming 2020-2022, 20 maart 2018, zaaknr. 580280, 20180320
              <text:span text:style-name="T3"/>
            </text:p>
            <text:p text:style-name="P7"/>
          </table:table-cell>
          <table:table-cell table:style-name="Table4.A2" office:value-type="string">
            <text:p text:style-name="P8">20-03-2018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897,22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Provincie-Overijssel-Uw-begroting-2019-en-meerjarenraming-2020-2022-20-maart-2018-zaaknr-580280-201803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607" meta:non-whitespace-character-count="5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