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65" w:history="1">
        <w:r>
          <w:rPr>
            <w:rFonts w:ascii="Arial" w:hAnsi="Arial" w:eastAsia="Arial" w:cs="Arial"/>
            <w:color w:val="155CAA"/>
            <w:u w:val="single"/>
          </w:rPr>
          <w:t xml:space="preserve">1 Brf, Patiëntenfederatie Nederland, KBO-PCOB, Pleidooi voor een ouderenvriendelijke samenleving, november 2017, zaaknr. 578964, 20180301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65"/>
      <w:r w:rsidRPr="00A448AC">
        <w:rPr>
          <w:rFonts w:ascii="Arial" w:hAnsi="Arial" w:cs="Arial"/>
          <w:b/>
          <w:bCs/>
          <w:color w:val="303F4C"/>
          <w:lang w:val="en-US"/>
        </w:rPr>
        <w:t>Brf, Patiëntenfederatie Nederland, KBO-PCOB, Pleidooi voor een ouderenvriendelijke samenleving, november 2017, zaaknr. 578964, 20180301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 17:22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Patiëntenfederatie Nederland, KBO-PCOB, Pleidooi voor een ouderenvriendelijke samenleving, november 2017, zaaknr. 578964, 20180301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Patientenfederatie-Nederland-KBO-PCOB-Pleidooi-voor-een-ouderenvriendelijke-samenleving-november-2017-zaaknr-578964-201803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