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21:39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1913" text:style-name="Internet_20_link" text:visited-style-name="Visited_20_Internet_20_Link">
              <text:span text:style-name="ListLabel_20_28">
                <text:span text:style-name="T8">1 Brf PCOB afd Nieuwleusen, Inzameling oud papier, zaaknr 603843, 20190625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1913"/>
        Brf PCOB afd Nieuwleusen, Inzameling oud papier, zaaknr 603843, 20190625
        <text:bookmark-end text:name="41913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26-09-2019 16:10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Brf PCOB afd Nieuwleusen, Inzameling oud papier, zaaknr 603843, 20190625
              <text:span text:style-name="T3"/>
            </text:p>
            <text:p text:style-name="P7"/>
          </table:table-cell>
          <table:table-cell table:style-name="Table4.A2" office:value-type="string">
            <text:p text:style-name="P8">25-06-2019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66,79 KB</text:p>
          </table:table-cell>
          <table:table-cell table:style-name="Table4.A2" office:value-type="string">
            <text:p text:style-name="P33">
              <text:a xlink:type="simple" xlink:href="https://ris.dalfsen.nl//Raadsinformatie/Ingekomen-stuk/voor-kennisgeving-aannemen/Brf-PCOB-afd-Nieuwleusen-Inzameling-oud-papier-zaaknr-603843-201906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71" meta:character-count="480" meta:non-whitespace-character-count="43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1693498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1693498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