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7" w:history="1">
        <w:r>
          <w:rPr>
            <w:rFonts w:ascii="Arial" w:hAnsi="Arial" w:eastAsia="Arial" w:cs="Arial"/>
            <w:color w:val="155CAA"/>
            <w:u w:val="single"/>
          </w:rPr>
          <w:t xml:space="preserve">1 Brf PCN, Sociaal jaarverslag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7"/>
      <w:r w:rsidRPr="00A448AC">
        <w:rPr>
          <w:rFonts w:ascii="Arial" w:hAnsi="Arial" w:cs="Arial"/>
          <w:b/>
          <w:bCs/>
          <w:color w:val="303F4C"/>
          <w:lang w:val="en-US"/>
        </w:rPr>
        <w:t>Brf PCN, Sociaal jaarverslag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PCN, Sociaal jaarverslag 2022, 20230823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CN-Sociaal-jaarverslag-2022-20230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