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16:56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4027" text:style-name="Internet_20_link" text:visited-style-name="Visited_20_Internet_20_Link">
              <text:span text:style-name="ListLabel_20_28">
                <text:span text:style-name="T8">1 Brf PB Nieuwleusen en Nieuwleusen Synergie, Reactie nota van uitgangspunten Palthelanden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4027"/>
        Brf PB Nieuwleusen en Nieuwleusen Synergie, Reactie nota van uitgangspunten Palthelanden
        <text:bookmark-end text:name="440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17-11-2025 12:10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PB Nieuwleusen en Nieuwleusen Synergie, Reactie nota van uitgangspunten Palthelanden, 20251117
              <text:span text:style-name="T3"/>
            </text:p>
            <text:p text:style-name="P7"/>
          </table:table-cell>
          <table:table-cell table:style-name="Table4.A2" office:value-type="string">
            <text:p text:style-name="P8">17-11-2025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130,41 KB</text:p>
          </table:table-cell>
          <table:table-cell table:style-name="Table4.A2" office:value-type="string">
            <text:p text:style-name="P33">
              <text:a xlink:type="simple" xlink:href="https://ris.dalfsen.nl//Raadsinformatie/Brf-PB-Nieuwleusen-en-Nieuwleusen-Synergie-Reactie-nota-van-uitgangspunten-Palthelanden-202511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5" meta:character-count="539" meta:non-whitespace-character-count="4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