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94" w:history="1">
        <w:r>
          <w:rPr>
            <w:rFonts w:ascii="Arial" w:hAnsi="Arial" w:eastAsia="Arial" w:cs="Arial"/>
            <w:color w:val="155CAA"/>
            <w:u w:val="single"/>
          </w:rPr>
          <w:t xml:space="preserve">1 Brf Natuur en Milieu Gelderland e.a., Luchtruimherziening, zaaknr 674992, 20221117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94"/>
      <w:r w:rsidRPr="00A448AC">
        <w:rPr>
          <w:rFonts w:ascii="Arial" w:hAnsi="Arial" w:cs="Arial"/>
          <w:b/>
          <w:bCs/>
          <w:color w:val="303F4C"/>
          <w:lang w:val="en-US"/>
        </w:rPr>
        <w:t>Brf Natuur en Milieu Gelderland e.a., Luchtruimherziening, zaaknr 674992, 20221117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 16:02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Natuur en Milieu Gelderland ea, Luchtruimherziening, zaaknr 674992, 20221117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Natuur-en-Milieu-Gelderland-ea-Luchtruimherziening-zaaknr-674992-202211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