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64" w:history="1">
        <w:r>
          <w:rPr>
            <w:rFonts w:ascii="Arial" w:hAnsi="Arial" w:eastAsia="Arial" w:cs="Arial"/>
            <w:color w:val="155CAA"/>
            <w:u w:val="single"/>
          </w:rPr>
          <w:t xml:space="preserve">1 Brf, Natuur &amp;amp; Milieu, Quickscan Duurzaamheid Nederlandse gemeenten Energie, mobiliteit en afval in de G4 en G32, 27 februari 2018, zaaknr. 578970, 20180301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64"/>
      <w:r w:rsidRPr="00A448AC">
        <w:rPr>
          <w:rFonts w:ascii="Arial" w:hAnsi="Arial" w:cs="Arial"/>
          <w:b/>
          <w:bCs/>
          <w:color w:val="303F4C"/>
          <w:lang w:val="en-US"/>
        </w:rPr>
        <w:t>Brf, Natuur &amp;amp; Milieu, Quickscan Duurzaamheid Nederlandse gemeenten Energie, mobiliteit en afval in de G4 en G32, 27 februari 2018, zaaknr. 578970, 20180301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29-03-2018 17:22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Natuur &amp;amp; Milieu, Quickscan Duurzaamheid Nederlandse gemeenten Energie, mobiliteit en afval in de G4 en G32, 27 februari 2018, zaaknr. 578970, 20180301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Brf-Natuur-Milieu-Quickscan-Duurzaamheid-Nederlandse-gemeenten-Energie-mobiliteit-en-afval-in-de-G4-en-G32-27-februari-2018-zaaknr-578970-201803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