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18" w:history="1">
        <w:r>
          <w:rPr>
            <w:rFonts w:ascii="Arial" w:hAnsi="Arial" w:eastAsia="Arial" w:cs="Arial"/>
            <w:color w:val="155CAA"/>
            <w:u w:val="single"/>
          </w:rPr>
          <w:t xml:space="preserve">1 Brf NVvR, Handreiking Raad aan Zet - Het Formatieproces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18"/>
      <w:r w:rsidRPr="00A448AC">
        <w:rPr>
          <w:rFonts w:ascii="Arial" w:hAnsi="Arial" w:cs="Arial"/>
          <w:b/>
          <w:bCs/>
          <w:color w:val="303F4C"/>
          <w:lang w:val="en-US"/>
        </w:rPr>
        <w:t>Brf NVvR, Handreiking Raad aan Zet - Het Formatieproces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NVvR, Handreiking Raad aan Zet - Het Formatieproces, 20250225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NVvR-Handreiking-Raad-aan-Zet-Het-Formatieproces-202502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