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1" w:history="1">
        <w:r>
          <w:rPr>
            <w:rFonts w:ascii="Arial" w:hAnsi="Arial" w:eastAsia="Arial" w:cs="Arial"/>
            <w:color w:val="155CAA"/>
            <w:u w:val="single"/>
          </w:rPr>
          <w:t xml:space="preserve">1 Brf NVVK, Jubileumonderzoek Meetbare en merkbare waarde financiele hulpverlening, zaaknr 665537, 20220707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1"/>
      <w:r w:rsidRPr="00A448AC">
        <w:rPr>
          <w:rFonts w:ascii="Arial" w:hAnsi="Arial" w:cs="Arial"/>
          <w:b/>
          <w:bCs/>
          <w:color w:val="303F4C"/>
          <w:lang w:val="en-US"/>
        </w:rPr>
        <w:t>Brf NVVK, Jubileumonderzoek Meetbare en merkbare waarde financiele hulpverlening, zaaknr 665537, 20220707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NVVK, Jubileumonderzoek Meetbare en merkbare waarde financiele hulpverlening, zaaknr 665537,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NVVK-Jubileumonderzoek-Meetbare-en-merkbare-waarde-financiele-hulpverlening-zaaknr-665537-202207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