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0" w:history="1">
        <w:r>
          <w:rPr>
            <w:rFonts w:ascii="Arial" w:hAnsi="Arial" w:eastAsia="Arial" w:cs="Arial"/>
            <w:color w:val="155CAA"/>
            <w:u w:val="single"/>
          </w:rPr>
          <w:t xml:space="preserve">1 Brf Min BZK, Verwerping wetsvoorstel verruiming ontheffing woonplaatsvereiste wethouders, zaaknr 603536, 20190620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0"/>
      <w:r w:rsidRPr="00A448AC">
        <w:rPr>
          <w:rFonts w:ascii="Arial" w:hAnsi="Arial" w:cs="Arial"/>
          <w:b/>
          <w:bCs/>
          <w:color w:val="303F4C"/>
          <w:lang w:val="en-US"/>
        </w:rPr>
        <w:t>Brf Min BZK, Verwerping wetsvoorstel verruiming ontheffing woonplaatsvereiste wethouders, zaaknr 603536, 20190620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BZK, Verwerping wetsvoorstel verruiming ontheffing woonplaatsvereiste wethouders, zaaknr 603536, 20190620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Min-BZK-Verwerping-wetsvoorstel-verruiming-ontheffing-woonplaatsvereiste-wethouders-zaaknr-603536-201906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