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4" w:history="1">
        <w:r>
          <w:rPr>
            <w:rFonts w:ascii="Arial" w:hAnsi="Arial" w:eastAsia="Arial" w:cs="Arial"/>
            <w:color w:val="155CAA"/>
            <w:u w:val="single"/>
          </w:rPr>
          <w:t xml:space="preserve">1 Brf LODON, Financieel overzicht en jaarverslag 2019, 20200423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4"/>
      <w:r w:rsidRPr="00A448AC">
        <w:rPr>
          <w:rFonts w:ascii="Arial" w:hAnsi="Arial" w:cs="Arial"/>
          <w:b/>
          <w:bCs/>
          <w:color w:val="303F4C"/>
          <w:lang w:val="en-US"/>
        </w:rPr>
        <w:t>Brf LODON, Financieel overzicht en jaarverslag 2019, 20200423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LODON, Financieel overzicht en jaarverslag 2019, 20200423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LODON-Financieel-overzicht-en-jaarverslag-2019-202004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