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4" w:history="1">
        <w:r>
          <w:rPr>
            <w:rFonts w:ascii="Arial" w:hAnsi="Arial" w:eastAsia="Arial" w:cs="Arial"/>
            <w:color w:val="155CAA"/>
            <w:u w:val="single"/>
          </w:rPr>
          <w:t xml:space="preserve">1 Brf KinderpardonNU, Actie voor kinderrechten in uw gemeente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4"/>
      <w:r w:rsidRPr="00A448AC">
        <w:rPr>
          <w:rFonts w:ascii="Arial" w:hAnsi="Arial" w:cs="Arial"/>
          <w:b/>
          <w:bCs/>
          <w:color w:val="303F4C"/>
          <w:lang w:val="en-US"/>
        </w:rPr>
        <w:t>Brf KinderpardonNU, Actie voor kinderrechten in uw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19:00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KinderpardonNU, Actie voor kinderrechten in uw gemeente,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KinderpardonNU-Actie-voor-kinderrechten-in-uw-gemeente-2025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