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70" w:history="1">
        <w:r>
          <w:rPr>
            <w:rFonts w:ascii="Arial" w:hAnsi="Arial" w:eastAsia="Arial" w:cs="Arial"/>
            <w:color w:val="155CAA"/>
            <w:u w:val="single"/>
          </w:rPr>
          <w:t xml:space="preserve">1 Brf HvdS, Reactie op consultatieronde WVG 3 sep, zaaknr 589665, 20180911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70"/>
      <w:r w:rsidRPr="00A448AC">
        <w:rPr>
          <w:rFonts w:ascii="Arial" w:hAnsi="Arial" w:cs="Arial"/>
          <w:b/>
          <w:bCs/>
          <w:color w:val="303F4C"/>
          <w:lang w:val="en-US"/>
        </w:rPr>
        <w:t>Brf HvdS, Reactie op consultatieronde WVG 3 sep, zaaknr 589665, 20180911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HvdS, Reactie op consultatieronde WVG 3 sep, zaaknr 589665, 20180911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HvdS-Reactie-op-consultatieronde-WVG-3-sep-zaaknr-589665-201809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