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9" w:history="1">
        <w:r>
          <w:rPr>
            <w:rFonts w:ascii="Arial" w:hAnsi="Arial" w:eastAsia="Arial" w:cs="Arial"/>
            <w:color w:val="155CAA"/>
            <w:u w:val="single"/>
          </w:rPr>
          <w:t xml:space="preserve">1 Brf Hoog Overijssel, Actuele stand van zaken dossier Lelystad Airport, zaaknr 635171, 20210614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9"/>
      <w:r w:rsidRPr="00A448AC">
        <w:rPr>
          <w:rFonts w:ascii="Arial" w:hAnsi="Arial" w:cs="Arial"/>
          <w:b/>
          <w:bCs/>
          <w:color w:val="303F4C"/>
          <w:lang w:val="en-US"/>
        </w:rPr>
        <w:t>Brf Hoog Overijssel, Actuele stand van zaken dossier Lelystad Airport, zaaknr 635171, 20210614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Hoog Overijssel, Actuele stand van zaken dossier Lelystad Airport, zaaknr 635171, 20210614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Hoog-Overijssel-Actuele-stand-van-zaken-dossier-Lelystad-Airport-zaaknr-635171-20210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