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696" w:history="1">
        <w:r>
          <w:rPr>
            <w:rFonts w:ascii="Arial" w:hAnsi="Arial" w:eastAsia="Arial" w:cs="Arial"/>
            <w:color w:val="155CAA"/>
            <w:u w:val="single"/>
          </w:rPr>
          <w:t xml:space="preserve">1 Brf Het Vergeten Kind, Stop het doorplaatsen van kinderen in de jeugdzorg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696"/>
      <w:r w:rsidRPr="00A448AC">
        <w:rPr>
          <w:rFonts w:ascii="Arial" w:hAnsi="Arial" w:cs="Arial"/>
          <w:b/>
          <w:bCs/>
          <w:color w:val="303F4C"/>
          <w:lang w:val="en-US"/>
        </w:rPr>
        <w:t>Brf Het Vergeten Kind, Stop het doorplaatsen van kinderen in de jeugdzorg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 16:36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Het Vergeten Kind, Stop het doorplaatsen van kinderen in de jeugdzorg, 20250130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Het-Vergeten-Kind-Stop-het-doorplaatsen-van-kinderen-in-de-jeugdzorg-2025013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