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37" w:history="1">
        <w:r>
          <w:rPr>
            <w:rFonts w:ascii="Arial" w:hAnsi="Arial" w:eastAsia="Arial" w:cs="Arial"/>
            <w:color w:val="155CAA"/>
            <w:u w:val="single"/>
          </w:rPr>
          <w:t xml:space="preserve">1 Brf, Het Oversticht, Jaarverslag Stadsbouwmeester 2017, zaaknr 587180, 20180716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37"/>
      <w:r w:rsidRPr="00A448AC">
        <w:rPr>
          <w:rFonts w:ascii="Arial" w:hAnsi="Arial" w:cs="Arial"/>
          <w:b/>
          <w:bCs/>
          <w:color w:val="303F4C"/>
          <w:lang w:val="en-US"/>
        </w:rPr>
        <w:t>Brf, Het Oversticht, Jaarverslag Stadsbouwmeester 2017, zaaknr 587180, 20180716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Het Oversticht, Jaarverslag Stadsbouwmeester 2017, zaaknr 587180, 20180716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Het-Oversticht-Jaarverslag-Stadsbouwmeester-2017-zaaknr-587180-201807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