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18" w:history="1">
        <w:r>
          <w:rPr>
            <w:rFonts w:ascii="Arial" w:hAnsi="Arial" w:eastAsia="Arial" w:cs="Arial"/>
            <w:color w:val="155CAA"/>
            <w:u w:val="single"/>
          </w:rPr>
          <w:t xml:space="preserve">1 Brf, Het Collectief Tegen Islamofobie en Discriminatie, Open brief, 11 mei 2018, zaaknr. 583238, 20180514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18"/>
      <w:r w:rsidRPr="00A448AC">
        <w:rPr>
          <w:rFonts w:ascii="Arial" w:hAnsi="Arial" w:cs="Arial"/>
          <w:b/>
          <w:bCs/>
          <w:color w:val="303F4C"/>
          <w:lang w:val="en-US"/>
        </w:rPr>
        <w:t>Brf, Het Collectief Tegen Islamofobie en Discriminatie, Open brief, 11 mei 2018, zaaknr. 583238, 20180514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Het Collectief Tegen Islamofobie en Discriminatie, Open brief, 11 mei 2018, zaaknr. 583238, 20180514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Het-Collectief-Tegen-Islamofobie-en-Discriminatie-Open-brief-11-mei-2018-zaaknr-583238-201805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