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09:12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830" text:style-name="Internet_20_link" text:visited-style-name="Visited_20_Internet_20_Link">
              <text:span text:style-name="ListLabel_20_28">
                <text:span text:style-name="T8">1 Brf H.D., Houtstook Schone lucht akkoord 2019, zaaknr 594843, 20190107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830"/>
        Brf H.D., Houtstook Schone lucht akkoord 2019, zaaknr 594843, 20190107
        <text:bookmark-end text:name="4183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29-01-2019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H.D., Houtstook Schone lucht akkoord 2019, zaaknr 594843, 20190107
              <text:span text:style-name="T3"/>
            </text:p>
            <text:p text:style-name="P7"/>
          </table:table-cell>
          <table:table-cell table:style-name="Table4.A2" office:value-type="string">
            <text:p text:style-name="P8">07-01-2019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678,01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voor-kennisgeving-aannemen/Brf-H-D-Houtstook-Schone-lucht-akkoord-2019-zaaknr-594843-2019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1" meta:character-count="475" meta:non-whitespace-character-count="4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1508405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1508405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