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31" w:history="1">
        <w:r>
          <w:rPr>
            <w:rFonts w:ascii="Arial" w:hAnsi="Arial" w:eastAsia="Arial" w:cs="Arial"/>
            <w:color w:val="155CAA"/>
            <w:u w:val="single"/>
          </w:rPr>
          <w:t xml:space="preserve">1 Brf, Griffiers en Gemeenschappelijke regelingen IJsselland, Wijzigingen in de Wgr, zaaknr 678391, 20221221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31"/>
      <w:r w:rsidRPr="00A448AC">
        <w:rPr>
          <w:rFonts w:ascii="Arial" w:hAnsi="Arial" w:cs="Arial"/>
          <w:b/>
          <w:bCs/>
          <w:color w:val="303F4C"/>
          <w:lang w:val="en-US"/>
        </w:rPr>
        <w:t>Brf, Griffiers en Gemeenschappelijke regelingen IJsselland, Wijzigingen in de Wgr, zaaknr 678391, 20221221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Griffiers en Gemeenschappelijke regelingen IJsselland, Wijzigingen in de Wgr, zaaknr 678391,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Griffiers-en-Gemeenschappelijke-regelingen-IJsselland-Wijzigingen-in-de-Wgr-zaaknr-678391-202212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