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86" w:history="1">
        <w:r>
          <w:rPr>
            <w:rFonts w:ascii="Arial" w:hAnsi="Arial" w:eastAsia="Arial" w:cs="Arial"/>
            <w:color w:val="155CAA"/>
            <w:u w:val="single"/>
          </w:rPr>
          <w:t xml:space="preserve">1 Brf Enexis, Gemeenteraadsverkiezingen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86"/>
      <w:r w:rsidRPr="00A448AC">
        <w:rPr>
          <w:rFonts w:ascii="Arial" w:hAnsi="Arial" w:cs="Arial"/>
          <w:b/>
          <w:bCs/>
          <w:color w:val="303F4C"/>
          <w:lang w:val="en-US"/>
        </w:rPr>
        <w:t>Brf Enexis, Gemeenteraadsverkiezingen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Enexis, Gemeenteraadsverkiezingen 2026, 20250708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Enexis-Gemeenteraadsverkiezingen-2026-202507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