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44" w:history="1">
        <w:r>
          <w:rPr>
            <w:rFonts w:ascii="Arial" w:hAnsi="Arial" w:eastAsia="Arial" w:cs="Arial"/>
            <w:color w:val="155CAA"/>
            <w:u w:val="single"/>
          </w:rPr>
          <w:t xml:space="preserve">1 Brf De Hollandsche Molen, Doe mee met het Jaar van de Molenbiotoop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44"/>
      <w:r w:rsidRPr="00A448AC">
        <w:rPr>
          <w:rFonts w:ascii="Arial" w:hAnsi="Arial" w:cs="Arial"/>
          <w:b/>
          <w:bCs/>
          <w:color w:val="303F4C"/>
          <w:lang w:val="en-US"/>
        </w:rPr>
        <w:t>Brf De Hollandsche Molen, Doe mee met het Jaar van de Molenbiotoop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De Hollandsche Molen, Doe mee met het Jaar van de Molenbiotoop,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De-Hollandsche-Molen-Doe-mee-met-het-Jaar-van-de-Molenbiotoop-202503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