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23:30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641" text:style-name="Internet_20_link" text:visited-style-name="Visited_20_Internet_20_Link">
              <text:span text:style-name="ListLabel_20_28">
                <text:span text:style-name="T8">1 Brf, Controle Alt Delete, Nieuw beleid tegen etnisch profileren, 20180115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41"/>
        Brf, Controle Alt Delete, Nieuw beleid tegen etnisch profileren, 20180115
        <text:bookmark-end text:name="416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01-02-2018 16:19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Controle Alt Delete, Nieuw beleid tegen etnisch profileren, 20180115
              <text:span text:style-name="T3"/>
            </text:p>
            <text:p text:style-name="P7"/>
          </table:table-cell>
          <table:table-cell table:style-name="Table4.A2" office:value-type="string">
            <text:p text:style-name="P8">15-01-2018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162,06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Controle-Alt-Delete-Nieuw-beleid-tegen-etnisch-profileren-201801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484" meta:non-whitespace-character-count="4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