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66" w:history="1">
        <w:r>
          <w:rPr>
            <w:rFonts w:ascii="Arial" w:hAnsi="Arial" w:eastAsia="Arial" w:cs="Arial"/>
            <w:color w:val="155CAA"/>
            <w:u w:val="single"/>
          </w:rPr>
          <w:t xml:space="preserve">1 Brf Bureau Objectief, Landelijk onderzoek naleving alcohol en tabak, zaaknr 671116, 20220929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66"/>
      <w:r w:rsidRPr="00A448AC">
        <w:rPr>
          <w:rFonts w:ascii="Arial" w:hAnsi="Arial" w:cs="Arial"/>
          <w:b/>
          <w:bCs/>
          <w:color w:val="303F4C"/>
          <w:lang w:val="en-US"/>
        </w:rPr>
        <w:t>Brf Bureau Objectief, Landelijk onderzoek naleving alcohol en tabak, zaaknr 671116, 20220929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Bureau Objectief, Landelijk onderzoek naleving alcohol en tabak, zaaknr 671116,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Bureau-Objectief-Landelijk-onderzoek-naleving-alcohol-en-tabak-zaaknr-671116-202209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