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30" text:style-name="Internet_20_link" text:visited-style-name="Visited_20_Internet_20_Link">
              <text:span text:style-name="ListLabel_20_28">
                <text:span text:style-name="T8">1 Brf, Berlimont CMC Consulting, Aanvullende info convenant regresrecht,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30"/>
        Brf, Berlimont CMC Consulting, Aanvullende info convenant regresrecht, 20180108
        <text:bookmark-end text:name="416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Berlimont CMC Consulting, Aanvullende info convenant regresrecht,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Berlimont-CMC-Consulting-Aanvullende-info-convenant-regresrecht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0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