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6" w:history="1">
        <w:r>
          <w:rPr>
            <w:rFonts w:ascii="Arial" w:hAnsi="Arial" w:eastAsia="Arial" w:cs="Arial"/>
            <w:color w:val="155CAA"/>
            <w:u w:val="single"/>
          </w:rPr>
          <w:t xml:space="preserve">1 Brf Belangengroepen, afschrift brief GS, Gewenste regie ruimtelijke ontwikkelingen grensgebied Zwolle-Dalfsen-Staphorst, zaaknr 657767, 20220419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6"/>
      <w:r w:rsidRPr="00A448AC">
        <w:rPr>
          <w:rFonts w:ascii="Arial" w:hAnsi="Arial" w:cs="Arial"/>
          <w:b/>
          <w:bCs/>
          <w:color w:val="303F4C"/>
          <w:lang w:val="en-US"/>
        </w:rPr>
        <w:t>Brf Belangengroepen, afschrift brief GS, Gewenste regie ruimtelijke ontwikkelingen grensgebied Zwolle-Dalfsen-Staphorst, zaaknr 657767, 20220419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Belangengroepen, afschrift brief GS, Gewenste regie ruimtelijke ontwikkelingen grensgebied Zwolle-Dalfsen-Staphorst, zaaknr 657767, 20220419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Belangengroepen-afschrift-brief-GS-Gewenste-regie-ruimtelijke-ontwikkelingen-grensgebied-Zwolle-Dalfsen-Staphorst-zaaknr-657767-202204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