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22" w:history="1">
        <w:r>
          <w:rPr>
            <w:rFonts w:ascii="Arial" w:hAnsi="Arial" w:eastAsia="Arial" w:cs="Arial"/>
            <w:color w:val="155CAA"/>
            <w:u w:val="single"/>
          </w:rPr>
          <w:t xml:space="preserve">1 Brf Actiz, Kostprijsbenchmark JGZ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22"/>
      <w:r w:rsidRPr="00A448AC">
        <w:rPr>
          <w:rFonts w:ascii="Arial" w:hAnsi="Arial" w:cs="Arial"/>
          <w:b/>
          <w:bCs/>
          <w:color w:val="303F4C"/>
          <w:lang w:val="en-US"/>
        </w:rPr>
        <w:t>Brf Actiz, Kostprijsbenchmark JGZ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Actiz, Kostprijsbenchmark JGZ,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Actiz-Kostprijsbenchmark-JGZ-202509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