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88" w:history="1">
        <w:r>
          <w:rPr>
            <w:rFonts w:ascii="Arial" w:hAnsi="Arial" w:eastAsia="Arial" w:cs="Arial"/>
            <w:color w:val="155CAA"/>
            <w:u w:val="single"/>
          </w:rPr>
          <w:t xml:space="preserve">1 Brf ANWB, Input raadsverkiezingen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88"/>
      <w:r w:rsidRPr="00A448AC">
        <w:rPr>
          <w:rFonts w:ascii="Arial" w:hAnsi="Arial" w:cs="Arial"/>
          <w:b/>
          <w:bCs/>
          <w:color w:val="303F4C"/>
          <w:lang w:val="en-US"/>
        </w:rPr>
        <w:t>Brf ANWB, Input raadsverkiezingen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ANWB, Input raadsverkiezingen 2026, 20250428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ANWB-Input-raadsverkiezingen-2026-202504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