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60" w:history="1">
        <w:r>
          <w:rPr>
            <w:rFonts w:ascii="Arial" w:hAnsi="Arial" w:eastAsia="Arial" w:cs="Arial"/>
            <w:color w:val="155CAA"/>
            <w:u w:val="single"/>
          </w:rPr>
          <w:t xml:space="preserve">1 Brf 113 Zelfmoordpreventie, Lokaal beleid suïcidepreventie en de GR2026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60"/>
      <w:r w:rsidRPr="00A448AC">
        <w:rPr>
          <w:rFonts w:ascii="Arial" w:hAnsi="Arial" w:cs="Arial"/>
          <w:b/>
          <w:bCs/>
          <w:color w:val="303F4C"/>
          <w:lang w:val="en-US"/>
        </w:rPr>
        <w:t>Brf 113 Zelfmoordpreventie, Lokaal beleid suïcidepreventie en de GR2026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 13:39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113 Zelfmoordpreventie, Lokaal beleid suïcidepreventie en de GR2026, 20250401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113-Zelfmoordpreventie-Lokaal-beleid-suicidepreventie-en-de-GR2026-202504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