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959" w:history="1">
        <w:r>
          <w:rPr>
            <w:rFonts w:ascii="Arial" w:hAnsi="Arial" w:eastAsia="Arial" w:cs="Arial"/>
            <w:color w:val="155CAA"/>
            <w:u w:val="single"/>
          </w:rPr>
          <w:t xml:space="preserve">1 Brf 113 Zelfmoordpreventie, Binnenkort-wettelijke taak suïcidepreventie voor gemeenten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959"/>
      <w:r w:rsidRPr="00A448AC">
        <w:rPr>
          <w:rFonts w:ascii="Arial" w:hAnsi="Arial" w:cs="Arial"/>
          <w:b/>
          <w:bCs/>
          <w:color w:val="303F4C"/>
          <w:lang w:val="en-US"/>
        </w:rPr>
        <w:t>Brf 113 Zelfmoordpreventie, Binnenkort-wettelijke taak suïcidepreventie voor gemeenten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 14:52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113 Zelfmoordpreventie, Binnenkort-wettelijke taak suïcidepreventie voor gemeenten, 20250923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rf-113-Zelfmoordpreventie-Binnenkort-wettelijke-taak-suicidepreventie-voor-gemeenten-202509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