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55" w:history="1">
        <w:r>
          <w:rPr>
            <w:rFonts w:ascii="Arial" w:hAnsi="Arial" w:eastAsia="Arial" w:cs="Arial"/>
            <w:color w:val="155CAA"/>
            <w:u w:val="single"/>
          </w:rPr>
          <w:t xml:space="preserve">1 Bijzondere Lbr VNG, Reactie op de rijksbegroting 2020, zaaknr 608100, 20190926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55"/>
      <w:r w:rsidRPr="00A448AC">
        <w:rPr>
          <w:rFonts w:ascii="Arial" w:hAnsi="Arial" w:cs="Arial"/>
          <w:b/>
          <w:bCs/>
          <w:color w:val="303F4C"/>
          <w:lang w:val="en-US"/>
        </w:rPr>
        <w:t>Bijzondere Lbr VNG, Reactie op de rijksbegroting 2020, zaaknr 608100, 20190926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Lbr VNG, Reactie op de rijksbegroting 2020, zaaknr 608100,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ijzondere-Lbr-VNG-Reactie-op-de-rijksbegroting-2020-zaaknr-608100-201909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