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80" w:history="1">
        <w:r>
          <w:rPr>
            <w:rFonts w:ascii="Arial" w:hAnsi="Arial" w:eastAsia="Arial" w:cs="Arial"/>
            <w:color w:val="155CAA"/>
            <w:u w:val="single"/>
          </w:rPr>
          <w:t xml:space="preserve">1 Lbr VNG, 22-054, Asielopvang, statushouders en Oekraïne, zaaknr 672612, 20221024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79" w:history="1">
        <w:r>
          <w:rPr>
            <w:rFonts w:ascii="Arial" w:hAnsi="Arial" w:eastAsia="Arial" w:cs="Arial"/>
            <w:color w:val="155CAA"/>
            <w:u w:val="single"/>
          </w:rPr>
          <w:t xml:space="preserve">2 Lbr VNG, 22-053, Hoge energiekosten, zaaknr 672385, 20221024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80"/>
      <w:r w:rsidRPr="00A448AC">
        <w:rPr>
          <w:rFonts w:ascii="Arial" w:hAnsi="Arial" w:cs="Arial"/>
          <w:b/>
          <w:bCs/>
          <w:color w:val="303F4C"/>
          <w:lang w:val="en-US"/>
        </w:rPr>
        <w:t>Lbr VNG, 22-054, Asielopvang, statushouders en Oekraïne, zaaknr 672612, 20221024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22-054, Asielopvang, statushouders en Oekraïne, zaaknr 672612, 20221024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79"/>
      <w:r w:rsidRPr="00A448AC">
        <w:rPr>
          <w:rFonts w:ascii="Arial" w:hAnsi="Arial" w:cs="Arial"/>
          <w:b/>
          <w:bCs/>
          <w:color w:val="303F4C"/>
          <w:lang w:val="en-US"/>
        </w:rPr>
        <w:t>Lbr VNG, 22-053, Hoge energiekosten, zaaknr 672385, 20221024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22-053, Hoge energiekosten, zaaknr 672385, 20221024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54-Asielopvang-statushouders-en-Oekraine-zaaknr-672612-20221024.pdf" TargetMode="External" /><Relationship Id="rId25" Type="http://schemas.openxmlformats.org/officeDocument/2006/relationships/hyperlink" Target="https://ris.dalfsen.nl//Raadsinformatie/Bijlage/Lbr-VNG-22-053-Hoge-energiekosten-zaaknr-672385-20221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