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903" w:history="1">
        <w:r>
          <w:rPr>
            <w:rFonts w:ascii="Arial" w:hAnsi="Arial" w:eastAsia="Arial" w:cs="Arial"/>
            <w:color w:val="155CAA"/>
            <w:u w:val="single"/>
          </w:rPr>
          <w:t xml:space="preserve">1 20120426 Stichting Platform Gehandicapten Dalfsen jaarverslag 2011, werkplan 2012, nr 2400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903"/>
      <w:r w:rsidRPr="00A448AC">
        <w:rPr>
          <w:rFonts w:ascii="Arial" w:hAnsi="Arial" w:cs="Arial"/>
          <w:b/>
          <w:bCs/>
          <w:color w:val="303F4C"/>
          <w:lang w:val="en-US"/>
        </w:rPr>
        <w:t>20120426 Stichting Platform Gehandicapten Dalfsen jaarverslag 2011, werkplan 2012, nr 2400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08-11-2012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20120426 Stichting Platform Gehandicapten Dalfsen jaarverslag 2011, werkplan 2012, nr 2400.pdf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20120426-Stichting-Platform-Gehandicapten-Dalfsen-jaarverslag-2011--werkplan-2012--nr-24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