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892" w:history="1">
        <w:r>
          <w:rPr>
            <w:rFonts w:ascii="Arial" w:hAnsi="Arial" w:eastAsia="Arial" w:cs="Arial"/>
            <w:color w:val="155CAA"/>
            <w:u w:val="single"/>
          </w:rPr>
          <w:t xml:space="preserve">1 Raad 15 okt 2012 - 20120919 Ingekomen stuk, ANWB brief start NBD, nr 5145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892"/>
      <w:r w:rsidRPr="00A448AC">
        <w:rPr>
          <w:rFonts w:ascii="Arial" w:hAnsi="Arial" w:cs="Arial"/>
          <w:b/>
          <w:bCs/>
          <w:color w:val="303F4C"/>
          <w:lang w:val="en-US"/>
        </w:rPr>
        <w:t>Raad 15 okt 2012 - 20120919 Ingekomen stuk, ANWB brief start NBD, nr 5145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12-11-2012 09:33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15 okt 2012 - 20120919 Ingekomen stuk, ANWB brief start NBD, nr 5145.pdf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Raad-15-okt-2012---20120919-Ingekomen-stuk--ANWB-brief-start-NBD--nr-514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