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89" w:history="1">
        <w:r>
          <w:rPr>
            <w:rFonts w:ascii="Arial" w:hAnsi="Arial" w:eastAsia="Arial" w:cs="Arial"/>
            <w:color w:val="155CAA"/>
            <w:u w:val="single"/>
          </w:rPr>
          <w:t xml:space="preserve">1 Raad 17 dec 2012 - Ingekomen stuk, Humana - gedragen kleding, goed doel, nr 6488, 20121129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89"/>
      <w:r w:rsidRPr="00A448AC">
        <w:rPr>
          <w:rFonts w:ascii="Arial" w:hAnsi="Arial" w:cs="Arial"/>
          <w:b/>
          <w:bCs/>
          <w:color w:val="303F4C"/>
          <w:lang w:val="en-US"/>
        </w:rPr>
        <w:t>Raad 17 dec 2012 - Ingekomen stuk, Humana - gedragen kleding, goed doel, nr 6488, 20121129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dec 2012 - Ingekomen stuk, Humana - gedragen kleding, goed doel, nr 6488, 20121129.pdf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dec-2012---Ingekomen-stuk--Humana---gedragen-kleding--goed-doel--nr-6488--2012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