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58" w:history="1">
        <w:r>
          <w:rPr>
            <w:rFonts w:ascii="Arial" w:hAnsi="Arial" w:eastAsia="Arial" w:cs="Arial"/>
            <w:color w:val="155CAA"/>
            <w:u w:val="single"/>
          </w:rPr>
          <w:t xml:space="preserve">1 Raad 30 mei 2016 - Ingekomen stuk, KNMvD, Dierenklinieken in detailhandel, 2974-4902, 20160510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58"/>
      <w:r w:rsidRPr="00A448AC">
        <w:rPr>
          <w:rFonts w:ascii="Arial" w:hAnsi="Arial" w:cs="Arial"/>
          <w:b/>
          <w:bCs/>
          <w:color w:val="303F4C"/>
          <w:lang w:val="en-US"/>
        </w:rPr>
        <w:t>Raad 30 mei 2016 - Ingekomen stuk, KNMvD, Dierenklinieken in detailhandel, 2974-4902, 20160510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mei 2016 - Ingekomen stuk, KNMvD, Dierenklinieken in detailhandel, 2974-4902, 20160510.pdf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30-mei-2016-Ingekomen-stuk-KNMvD-Dierenklinieken-in-detailhandel-2974-4902-201605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