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2" w:history="1">
        <w:r>
          <w:rPr>
            <w:rFonts w:ascii="Arial" w:hAnsi="Arial" w:eastAsia="Arial" w:cs="Arial"/>
            <w:color w:val="155CAA"/>
            <w:u w:val="single"/>
          </w:rPr>
          <w:t xml:space="preserve">1 Raad 30 mei 2016 - Ingekomen stuk, C.O. en M.K., intrekken zienswijze 2e verzamelplan Buitengebied, nr 2554-5405, 20160519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2"/>
      <w:r w:rsidRPr="00A448AC">
        <w:rPr>
          <w:rFonts w:ascii="Arial" w:hAnsi="Arial" w:cs="Arial"/>
          <w:b/>
          <w:bCs/>
          <w:color w:val="303F4C"/>
          <w:lang w:val="en-US"/>
        </w:rPr>
        <w:t>Raad 30 mei 2016 - Ingekomen stuk, C.O. en M.K., intrekken zienswijze 2e verzamelplan Buitengebied, nr 2554-5405, 20160519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mei 2016 - Ingekomen stuk, C.O. en M.K., intrekken zienswijze 2e verzamelplan Buitengebied, nr 2554-5405, 20160519.pdf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30-mei-2016-Ingekomen-stuk-C-O-en-M-K-intrekken-zienswijze-2e-verzamelplan-Buitengebied-nr-2554-5405-201605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