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64" w:history="1">
        <w:r>
          <w:rPr>
            <w:rFonts w:ascii="Arial" w:hAnsi="Arial" w:eastAsia="Arial" w:cs="Arial"/>
            <w:color w:val="155CAA"/>
            <w:u w:val="single"/>
          </w:rPr>
          <w:t xml:space="preserve">1 Raad 27 mei 2013 - Ingekomen stuk, VNG, decentralisaties sociaal domein, nr 6835-12536, 20130422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64"/>
      <w:r w:rsidRPr="00A448AC">
        <w:rPr>
          <w:rFonts w:ascii="Arial" w:hAnsi="Arial" w:cs="Arial"/>
          <w:b/>
          <w:bCs/>
          <w:color w:val="303F4C"/>
          <w:lang w:val="en-US"/>
        </w:rPr>
        <w:t>Raad 27 mei 2013 - Ingekomen stuk, VNG, decentralisaties sociaal domein, nr 6835-12536, 20130422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mei 2013 - Ingekomen stuk, VNG, decentralisaties sociaal domein, nr 6835-12536, 20130422.pdf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mei-2013---Ingekomen-stuk--VNG--decentralisaties-sociaal-domein--nr-6835-12536--201304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