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65" w:history="1">
        <w:r>
          <w:rPr>
            <w:rFonts w:ascii="Arial" w:hAnsi="Arial" w:eastAsia="Arial" w:cs="Arial"/>
            <w:color w:val="155CAA"/>
            <w:u w:val="single"/>
          </w:rPr>
          <w:t xml:space="preserve">1 Raad 27 jun 2016 - Ingekomen stuk, A. Wevers, Waterkwaliteit van de Overijsselse Vecht, nr 3355-5661, 20160524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65"/>
      <w:r w:rsidRPr="00A448AC">
        <w:rPr>
          <w:rFonts w:ascii="Arial" w:hAnsi="Arial" w:cs="Arial"/>
          <w:b/>
          <w:bCs/>
          <w:color w:val="303F4C"/>
          <w:lang w:val="en-US"/>
        </w:rPr>
        <w:t>Raad 27 jun 2016 - Ingekomen stuk, A. Wevers, Waterkwaliteit van de Overijsselse Vecht, nr 3355-5661, 20160524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jun 2016 - Ingekomen stuk, A. Wevers, Waterkwaliteit van de Overijsselse Vecht, nr 3355-5661, 20160524.pdf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7-jun-2016-Ingekomen-stuk-A-Wevers-Waterkwaliteit-van-de-Overijsselse-Vecht-nr-3355-5661-201605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