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40" w:history="1">
        <w:r>
          <w:rPr>
            <w:rFonts w:ascii="Arial" w:hAnsi="Arial" w:eastAsia="Arial" w:cs="Arial"/>
            <w:color w:val="155CAA"/>
            <w:u w:val="single"/>
          </w:rPr>
          <w:t xml:space="preserve">1 Raad 27 jan 2014 - Ingekomen stuk, Alex Bol, Huis Schokker versus horecabestemming, nr 12570-11803, 20131212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40"/>
      <w:r w:rsidRPr="00A448AC">
        <w:rPr>
          <w:rFonts w:ascii="Arial" w:hAnsi="Arial" w:cs="Arial"/>
          <w:b/>
          <w:bCs/>
          <w:color w:val="303F4C"/>
          <w:lang w:val="en-US"/>
        </w:rPr>
        <w:t>Raad 27 jan 2014 - Ingekomen stuk, Alex Bol, Huis Schokker versus horecabestemming, nr 12570-11803, 20131212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30-01-2014 12:06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jan 2014 - Ingekomen stuk, Alex Bol, Huis Schokker versus horecabestemming, nr 12570-11803, 20131212.pdf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7-jan-2014---Ingekomen-stuk--Alex-Bol--Huis-Schokker-versus-horecabestemming--nr-12570-11803--201312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