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85" w:history="1">
        <w:r>
          <w:rPr>
            <w:rFonts w:ascii="Arial" w:hAnsi="Arial" w:eastAsia="Arial" w:cs="Arial"/>
            <w:color w:val="155CAA"/>
            <w:u w:val="single"/>
          </w:rPr>
          <w:t xml:space="preserve">1 Raad 26 okt 2015 - Ingekomen stuk, Transitiecommissie Sociaal Domein, TSD en code Verantwoordelijk Marktgedrag Thuisondersteuning, nr 28832-32240, 20150921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85"/>
      <w:r w:rsidRPr="00A448AC">
        <w:rPr>
          <w:rFonts w:ascii="Arial" w:hAnsi="Arial" w:cs="Arial"/>
          <w:b/>
          <w:bCs/>
          <w:color w:val="303F4C"/>
          <w:lang w:val="en-US"/>
        </w:rPr>
        <w:t>Raad 26 okt 2015 - Ingekomen stuk, Transitiecommissie Sociaal Domein, TSD en code Verantwoordelijk Marktgedrag Thuisondersteuning, nr 28832-32240, 20150921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27-10-2015 11:32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okt 2015 - Ingekomen stuk, Transitiecommissie Sociaal Domein, TSD en code Verantwoordelijk Marktgedrag Thuisondersteuning, nr 28832-32240, 20150921.pdf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6-okt-2015-Ingekomen-stuk-Transitiecommissie-Sociaal-Domein-TSD-en-code-Verantwoordelijk-Marktgedrag-Thuisondersteuning-nr-28832-32240-201509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