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92" w:history="1">
        <w:r>
          <w:rPr>
            <w:rFonts w:ascii="Arial" w:hAnsi="Arial" w:eastAsia="Arial" w:cs="Arial"/>
            <w:color w:val="155CAA"/>
            <w:u w:val="single"/>
          </w:rPr>
          <w:t xml:space="preserve">1 Raad 26 okt 2015 - Ingekomen stuk, Ministerie van Binnenl zkn en Koninkrijksrel, Circulaire, nr 29258-28482, 20151012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92"/>
      <w:r w:rsidRPr="00A448AC">
        <w:rPr>
          <w:rFonts w:ascii="Arial" w:hAnsi="Arial" w:cs="Arial"/>
          <w:b/>
          <w:bCs/>
          <w:color w:val="303F4C"/>
          <w:lang w:val="en-US"/>
        </w:rPr>
        <w:t>Raad 26 okt 2015 - Ingekomen stuk, Ministerie van Binnenl zkn en Koninkrijksrel, Circulaire, nr 29258-28482, 20151012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27-10-2015 11:37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okt 2015 - Ingekomen stuk, Ministerie van Binnenl zkn en Koninkrijksrel, Circulaire, nr 29258-28482, 20151012.pdf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654,28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6-okt-2015-Ingekomen-stuk-Ministerie-van-Binnenl-zkn-en-Koninkrijksrel-Circulaire-nr-29258-28482-201510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