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2" w:history="1">
        <w:r>
          <w:rPr>
            <w:rFonts w:ascii="Arial" w:hAnsi="Arial" w:eastAsia="Arial" w:cs="Arial"/>
            <w:color w:val="155CAA"/>
            <w:u w:val="single"/>
          </w:rPr>
          <w:t xml:space="preserve">1 Raad 26 nov 2012 - 20121105 Ingekomen stuk, C.J.H. Meijer inz Rechterensedijk, nr 5951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2"/>
      <w:r w:rsidRPr="00A448AC">
        <w:rPr>
          <w:rFonts w:ascii="Arial" w:hAnsi="Arial" w:cs="Arial"/>
          <w:b/>
          <w:bCs/>
          <w:color w:val="303F4C"/>
          <w:lang w:val="en-US"/>
        </w:rPr>
        <w:t>Raad 26 nov 2012 - 20121105 Ingekomen stuk, C.J.H. Meijer inz Rechterensedijk, nr 5951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06-12-2012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nov 2012 - 20121105 Ingekomen stuk, C.J.H. Meijer inzake Rechterensedijk, nr 5951.pdf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6-nov-2012-20121105-Ingekomen-stuk-C-J-H-Meijer-inzake-Rechterensedijk-nr-595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