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95" w:history="1">
        <w:r>
          <w:rPr>
            <w:rFonts w:ascii="Arial" w:hAnsi="Arial" w:eastAsia="Arial" w:cs="Arial"/>
            <w:color w:val="155CAA"/>
            <w:u w:val="single"/>
          </w:rPr>
          <w:t xml:space="preserve">1 Raad 26 nov 2012 - 20121015 Ingekomen stuk, PB Hessum, Vennenberg, Rechteren inz afvalstoffenheffing, nr 5598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95"/>
      <w:r w:rsidRPr="00A448AC">
        <w:rPr>
          <w:rFonts w:ascii="Arial" w:hAnsi="Arial" w:cs="Arial"/>
          <w:b/>
          <w:bCs/>
          <w:color w:val="303F4C"/>
          <w:lang w:val="en-US"/>
        </w:rPr>
        <w:t>Raad 26 nov 2012 - 20121015 Ingekomen stuk, PB Hessum, Vennenberg, Rechteren inz afvalstoffenheffing, nr 5598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nov 2012 - 20121015 Ingekomen stuk, PB Hessum, Vennenberg, Rechteren inz afvalstoffenheffing, nr 5598.pdf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6-nov-2012---20121015-Ingekomen-stuk--PB-Hessum--Vennenberg--Rechteren-inz-afvalstoffenheffing--nr-559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