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87" w:history="1">
        <w:r>
          <w:rPr>
            <w:rFonts w:ascii="Arial" w:hAnsi="Arial" w:eastAsia="Arial" w:cs="Arial"/>
            <w:color w:val="155CAA"/>
            <w:u w:val="single"/>
          </w:rPr>
          <w:t xml:space="preserve">1 Raad 25 sep 2017 - Ingekomen stuk, H.J.H., Herhaling klacht functioneren GBLT mbt WOZ, nr 494481-207095, 20170718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87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H.J.H., Herhaling klacht functioneren GBLT mbt WOZ, nr 494481-207095, 20170718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H.J.H., Herhaling klacht functioneren GBLT mbt WOZ, nr 494481-207095, 20170718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5-sep-2017-Ingekomen-stuk-H-J-H-Herhaling-klacht-functioneren-GBLT-mbt-WOZ-nr-494481-207095-20170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