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1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stuk, GGD IJsselland, begrotingswijziging 2013, nr 11208-10377, 20131028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1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stuk, GGD IJsselland, begrotingswijziging 2013, nr 11208-10377, 20131028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stuk, GGD IJsselland, begrotingswijziging 2013, nr 11208-10377, 20131028.pdf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nov-2013---Ingekomen-stuk--GGD-IJsselland--begrotingswijziging-2013--nr-11208-10377--20131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