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4" w:history="1">
        <w:r>
          <w:rPr>
            <w:rFonts w:ascii="Arial" w:hAnsi="Arial" w:eastAsia="Arial" w:cs="Arial"/>
            <w:color w:val="155CAA"/>
            <w:u w:val="single"/>
          </w:rPr>
          <w:t xml:space="preserve">1 Raad 24 nov 2014 - Ingekomen stuk, WSW Cliëntenraad, Beleid WSW geïndiceerden binnen Wezo, nr 20588-20905, 20141028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4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WSW Cliëntenraad, Beleid WSW geïndiceerden binnen Wezo, nr 20588-20905, 20141028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WSW Cliëntenraad, Beleid WSW geïndiceerden binnen Wezo, nr 20588-20905, 20141028.pdf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fgehandeld-het-college-gevraagd-een-antwoord-te-verzorgen/Raad-24-nov-2014---Ingekomen-stuk--WSW-Clientenraad--Beleid-WSW-geindiceerden-binnen-Wezo--nr-20588-20905--20141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