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94" w:history="1">
        <w:r>
          <w:rPr>
            <w:rFonts w:ascii="Arial" w:hAnsi="Arial" w:eastAsia="Arial" w:cs="Arial"/>
            <w:color w:val="155CAA"/>
            <w:u w:val="single"/>
          </w:rPr>
          <w:t xml:space="preserve">1 Raad 23 sept 2013 - Ingekomen stuk, VCP, bestrijding jongerenwerkloosheid, nr 8307-7114, 20130806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94"/>
      <w:r w:rsidRPr="00A448AC">
        <w:rPr>
          <w:rFonts w:ascii="Arial" w:hAnsi="Arial" w:cs="Arial"/>
          <w:b/>
          <w:bCs/>
          <w:color w:val="303F4C"/>
          <w:lang w:val="en-US"/>
        </w:rPr>
        <w:t>Raad 23 sept 2013 - Ingekomen stuk, VCP, bestrijding jongerenwerkloosheid, nr 8307-7114, 20130806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sept 2013 - Ingekomen stuk, VCP, bestrijding jongerenwerkloosheid, nr 8307-7114, 20130806.pdf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3-sept-2013---Ingekomen-stuk--VCP--bestrijding-jongerenwerkloosheid--nr-8307-7114--201308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