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95" w:history="1">
        <w:r>
          <w:rPr>
            <w:rFonts w:ascii="Arial" w:hAnsi="Arial" w:eastAsia="Arial" w:cs="Arial"/>
            <w:color w:val="155CAA"/>
            <w:u w:val="single"/>
          </w:rPr>
          <w:t xml:space="preserve">1 Raad 23 sept 2013 - Ingekomen stuk, BVVW-NVRM, permanente bewoning woonforensenbelast, nr 9423-8351, 20130827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95"/>
      <w:r w:rsidRPr="00A448AC">
        <w:rPr>
          <w:rFonts w:ascii="Arial" w:hAnsi="Arial" w:cs="Arial"/>
          <w:b/>
          <w:bCs/>
          <w:color w:val="303F4C"/>
          <w:lang w:val="en-US"/>
        </w:rPr>
        <w:t>Raad 23 sept 2013 - Ingekomen stuk, BVVW-NVRM, permanente bewoning woonforensenbelast, nr 9423-8351, 20130827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sept 2013 - Ingekomen stuk, BVVW-NVRM, permanente bewoning woonforensenbelast, nr 9423-8351, 20130827.pdf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3-sept-2013---Ingekomen-stuk--BVVW-NVRM--permanente-bewoning-woonforensenbelast--nr-9423-8351--201308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