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97" w:history="1">
        <w:r>
          <w:rPr>
            <w:rFonts w:ascii="Arial" w:hAnsi="Arial" w:eastAsia="Arial" w:cs="Arial"/>
            <w:color w:val="155CAA"/>
            <w:u w:val="single"/>
          </w:rPr>
          <w:t xml:space="preserve">1 Raad 23 nov 2015 - Ingekomen stuk, E. Busscher, Heroverwegen besluit Molendijk, nr 28905- 34041, 20151112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97"/>
      <w:r w:rsidRPr="00A448AC">
        <w:rPr>
          <w:rFonts w:ascii="Arial" w:hAnsi="Arial" w:cs="Arial"/>
          <w:b/>
          <w:bCs/>
          <w:color w:val="303F4C"/>
          <w:lang w:val="en-US"/>
        </w:rPr>
        <w:t>Raad 23 nov 2015 - Ingekomen stuk, E. Busscher, Heroverwegen besluit Molendijk, nr 28905- 34041, 20151112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24-11-2015 10:48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23 nov 2015 - Ingekomen stuk, E. Busscher, Heroverwegen besluit Molendijk, nr 28905- 34041, 20151112.pdf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fdoening-in-handen-van-het-college-stellen/Raad-23-nov-2015-Ingekomen-stuk-E-Busscher-Heroverwegen-besluit-Molendijk-nr-28905-34041-201511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