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299" w:history="1">
        <w:r>
          <w:rPr>
            <w:rFonts w:ascii="Arial" w:hAnsi="Arial" w:eastAsia="Arial" w:cs="Arial"/>
            <w:color w:val="155CAA"/>
            <w:u w:val="single"/>
          </w:rPr>
          <w:t xml:space="preserve">1 Raad 23 mrt 2015 - Ingekomen stuk, Provincie Overijssel, Begrotingsbrief 2016, nr. 23615-25342, 20150305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299"/>
      <w:r w:rsidRPr="00A448AC">
        <w:rPr>
          <w:rFonts w:ascii="Arial" w:hAnsi="Arial" w:cs="Arial"/>
          <w:b/>
          <w:bCs/>
          <w:color w:val="303F4C"/>
          <w:lang w:val="en-US"/>
        </w:rPr>
        <w:t>Raad 23 mrt 2015 - Ingekomen stuk, Provincie Overijssel, Begrotingsbrief 2016, nr. 23615-25342, 20150305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26-03-2015 10:34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23 mrt 2015 - Ingekomen stuk, Provincie Overijssel, Begrotingsbrief 2016, nr. 23615-25342, 20150305.pdf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3-mrt-2015-Ingekomen-stuk-Provincie-Overijssel-Begrotingsbrief-2016-nr-23615-25342-2015030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